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i w:val="0"/>
          <w:caps w:val="0"/>
          <w:color w:val="4B4B4B"/>
          <w:spacing w:val="0"/>
          <w:kern w:val="0"/>
          <w:sz w:val="36"/>
          <w:szCs w:val="36"/>
          <w:lang w:val="en-US" w:eastAsia="zh-CN" w:bidi="ar"/>
        </w:rPr>
      </w:pPr>
      <w:r>
        <w:rPr>
          <w:rFonts w:hint="eastAsia" w:ascii="微软雅黑" w:hAnsi="微软雅黑" w:eastAsia="微软雅黑" w:cs="微软雅黑"/>
          <w:b/>
          <w:i w:val="0"/>
          <w:caps w:val="0"/>
          <w:color w:val="4B4B4B"/>
          <w:spacing w:val="0"/>
          <w:kern w:val="0"/>
          <w:sz w:val="36"/>
          <w:szCs w:val="36"/>
          <w:lang w:val="en-US" w:eastAsia="zh-CN" w:bidi="ar"/>
        </w:rPr>
        <w:t>宁波市</w:t>
      </w:r>
      <w:r>
        <w:rPr>
          <w:rFonts w:hint="default" w:ascii="微软雅黑" w:hAnsi="微软雅黑" w:eastAsia="微软雅黑" w:cs="微软雅黑"/>
          <w:b/>
          <w:i w:val="0"/>
          <w:caps w:val="0"/>
          <w:color w:val="4B4B4B"/>
          <w:spacing w:val="0"/>
          <w:kern w:val="0"/>
          <w:sz w:val="36"/>
          <w:szCs w:val="36"/>
          <w:lang w:val="en-US" w:eastAsia="zh-CN" w:bidi="ar"/>
        </w:rPr>
        <w:t>人民政府关于赋予县、区（市）</w:t>
      </w:r>
    </w:p>
    <w:p>
      <w:pPr>
        <w:jc w:val="center"/>
        <w:rPr>
          <w:rFonts w:hint="eastAsia" w:ascii="微软雅黑" w:hAnsi="微软雅黑" w:eastAsia="微软雅黑" w:cs="微软雅黑"/>
          <w:b/>
          <w:i w:val="0"/>
          <w:caps w:val="0"/>
          <w:color w:val="4B4B4B"/>
          <w:spacing w:val="0"/>
          <w:kern w:val="0"/>
          <w:sz w:val="36"/>
          <w:szCs w:val="36"/>
          <w:lang w:val="en-US" w:eastAsia="zh-CN" w:bidi="ar"/>
        </w:rPr>
      </w:pPr>
      <w:r>
        <w:rPr>
          <w:rFonts w:hint="default" w:ascii="微软雅黑" w:hAnsi="微软雅黑" w:eastAsia="微软雅黑" w:cs="微软雅黑"/>
          <w:b/>
          <w:i w:val="0"/>
          <w:caps w:val="0"/>
          <w:color w:val="4B4B4B"/>
          <w:spacing w:val="0"/>
          <w:kern w:val="0"/>
          <w:sz w:val="36"/>
          <w:szCs w:val="36"/>
          <w:lang w:val="en-US" w:eastAsia="zh-CN" w:bidi="ar"/>
        </w:rPr>
        <w:t>专利行政部门专利执法权的决定</w:t>
      </w:r>
    </w:p>
    <w:p>
      <w:pPr>
        <w:jc w:val="center"/>
        <w:rPr>
          <w:rFonts w:hint="eastAsia" w:ascii="微软雅黑" w:hAnsi="微软雅黑" w:eastAsia="微软雅黑" w:cs="微软雅黑"/>
          <w:b/>
          <w:i w:val="0"/>
          <w:caps w:val="0"/>
          <w:color w:val="4B4B4B"/>
          <w:spacing w:val="0"/>
          <w:kern w:val="0"/>
          <w:sz w:val="36"/>
          <w:szCs w:val="36"/>
          <w:lang w:val="en-US" w:eastAsia="zh-CN" w:bidi="ar"/>
        </w:rPr>
      </w:pPr>
      <w:r>
        <w:rPr>
          <w:rFonts w:hint="default" w:ascii="微软雅黑" w:hAnsi="微软雅黑" w:eastAsia="微软雅黑" w:cs="微软雅黑"/>
          <w:b/>
          <w:i w:val="0"/>
          <w:caps w:val="0"/>
          <w:color w:val="4B4B4B"/>
          <w:spacing w:val="0"/>
          <w:kern w:val="0"/>
          <w:sz w:val="36"/>
          <w:szCs w:val="36"/>
          <w:lang w:val="en-US" w:eastAsia="zh-CN" w:bidi="ar"/>
        </w:rPr>
        <w:t>（送审稿）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474747"/>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各县、区（市）人民政府，市政府各部门、直属各单位：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华文仿宋" w:hAnsi="华文仿宋" w:eastAsia="华文仿宋" w:cs="华文仿宋"/>
          <w:sz w:val="32"/>
          <w:szCs w:val="32"/>
        </w:rPr>
      </w:pPr>
      <w:r>
        <w:rPr>
          <w:rFonts w:hint="eastAsia" w:ascii="华文仿宋" w:hAnsi="华文仿宋" w:eastAsia="华文仿宋" w:cs="华文仿宋"/>
          <w:sz w:val="32"/>
          <w:szCs w:val="32"/>
        </w:rPr>
        <w:t>近年来，我市企业对专利行政执法保护的需求越来越大，发挥县级市场监管部门属地管辖优势和整合全市专利行政执法力量已成为当务之急。同时，机构改革后，各区、县（市）市场监管部门知识产权行政执法力量得到了加强，已具备</w:t>
      </w:r>
      <w:r>
        <w:rPr>
          <w:rFonts w:hint="eastAsia" w:ascii="华文仿宋" w:hAnsi="华文仿宋" w:eastAsia="华文仿宋" w:cs="华文仿宋"/>
          <w:sz w:val="32"/>
          <w:szCs w:val="32"/>
          <w:lang w:eastAsia="zh-CN"/>
        </w:rPr>
        <w:t>了</w:t>
      </w:r>
      <w:r>
        <w:rPr>
          <w:rFonts w:hint="eastAsia" w:ascii="华文仿宋" w:hAnsi="华文仿宋" w:eastAsia="华文仿宋" w:cs="华文仿宋"/>
          <w:sz w:val="32"/>
          <w:szCs w:val="32"/>
        </w:rPr>
        <w:t>专利行政执法条件。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为进一步简政放权，提高行政执法效率，加大专利侵权打击力度，</w:t>
      </w:r>
      <w:r>
        <w:rPr>
          <w:rFonts w:hint="eastAsia" w:ascii="华文仿宋" w:hAnsi="华文仿宋" w:eastAsia="华文仿宋" w:cs="华文仿宋"/>
          <w:sz w:val="32"/>
          <w:szCs w:val="32"/>
          <w:lang w:val="en-US" w:eastAsia="zh-CN"/>
        </w:rPr>
        <w:t>结合本次市场监管综合行政执法体制改革，</w:t>
      </w:r>
      <w:r>
        <w:rPr>
          <w:rFonts w:hint="eastAsia" w:ascii="华文仿宋" w:hAnsi="华文仿宋" w:eastAsia="华文仿宋" w:cs="华文仿宋"/>
          <w:sz w:val="32"/>
          <w:szCs w:val="32"/>
          <w:lang w:eastAsia="zh-CN"/>
        </w:rPr>
        <w:t>根据《浙江省专利条例》第二十二条第二款的规定，经研究，市政府决定，自2019年 月 日</w:t>
      </w:r>
      <w:r>
        <w:rPr>
          <w:rFonts w:hint="eastAsia" w:ascii="华文仿宋" w:hAnsi="华文仿宋" w:eastAsia="华文仿宋" w:cs="华文仿宋"/>
          <w:sz w:val="32"/>
          <w:szCs w:val="32"/>
          <w:lang w:val="en-US" w:eastAsia="zh-CN"/>
        </w:rPr>
        <w:t>将假冒专利处罚权下放至镇海区、北仑区、奉化区、慈溪市、余姚市、宁海县、象山县市场监管局，管辖发生在辖区内的假冒专利案件。将专利侵权案件裁决权下放至镇海区、北仑区、奉化区、慈溪市、余姚市、宁海县、象山县市场监管局，管辖侵权行为地或被请求人住所地在辖区内的专利侵权案件；跨区域案件由市局管辖。</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jc w:val="both"/>
        <w:rPr>
          <w:rFonts w:hint="eastAsia" w:ascii="宋体" w:hAnsi="宋体" w:eastAsia="宋体" w:cs="宋体"/>
          <w:i w:val="0"/>
          <w:caps w:val="0"/>
          <w:color w:val="474747"/>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760" w:firstLineChars="1800"/>
        <w:jc w:val="both"/>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宁波市人民政府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80" w:firstLineChars="1900"/>
        <w:jc w:val="both"/>
      </w:pPr>
      <w:r>
        <w:rPr>
          <w:rFonts w:hint="eastAsia" w:ascii="华文仿宋" w:hAnsi="华文仿宋" w:eastAsia="华文仿宋" w:cs="华文仿宋"/>
          <w:sz w:val="32"/>
          <w:szCs w:val="32"/>
          <w:lang w:eastAsia="zh-CN"/>
        </w:rPr>
        <w:t>2019年  月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日</w:t>
      </w:r>
    </w:p>
    <w:sectPr>
      <w:pgSz w:w="11906" w:h="16838"/>
      <w:pgMar w:top="1814" w:right="1531" w:bottom="158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42EBB"/>
    <w:rsid w:val="40F64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zhoutx</dc:creator>
  <cp:lastModifiedBy>Curry饭</cp:lastModifiedBy>
  <dcterms:modified xsi:type="dcterms:W3CDTF">2019-12-20T03:32:27Z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