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bidi="ar"/>
        </w:rPr>
        <w:t>整合划入市场监管综合行政执法范围的盐业执法事项目录</w:t>
      </w:r>
    </w:p>
    <w:p>
      <w:pPr>
        <w:rPr>
          <w:rFonts w:hint="eastAsia"/>
          <w:lang w:val="en-US" w:eastAsia="zh-CN"/>
        </w:rPr>
      </w:pPr>
    </w:p>
    <w:tbl>
      <w:tblPr>
        <w:tblStyle w:val="5"/>
        <w:tblW w:w="14760" w:type="dxa"/>
        <w:jc w:val="center"/>
        <w:tblInd w:w="-9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915"/>
        <w:gridCol w:w="1485"/>
        <w:gridCol w:w="2730"/>
        <w:gridCol w:w="1530"/>
        <w:gridCol w:w="5055"/>
        <w:gridCol w:w="855"/>
        <w:gridCol w:w="84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51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移交权力事项</w:t>
            </w:r>
          </w:p>
        </w:tc>
        <w:tc>
          <w:tcPr>
            <w:tcW w:w="15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具体划转执法事项</w:t>
            </w:r>
          </w:p>
        </w:tc>
        <w:tc>
          <w:tcPr>
            <w:tcW w:w="5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职责边界</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划出部门</w:t>
            </w:r>
          </w:p>
        </w:tc>
        <w:tc>
          <w:tcPr>
            <w:tcW w:w="8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实施主体</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方面</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事项编码</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5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8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330207058000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对非食盐定点生产企业生产食盐的行政处罚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330207059000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对非食盐定点批发企业经营食盐批发业务的行政处罚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330207060000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对食盐定点生产企业、非食用盐生产企业未按规定保存生产销售记录的行政处罚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330207061000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对食盐定点批发企业未按规定保存采购销售记录的行政处罚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330207062000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对食盐定点批发企业超出国家规定的范围销售食盐的行政处罚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330207063000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w:t>
            </w:r>
            <w:r>
              <w:rPr>
                <w:rStyle w:val="6"/>
                <w:rFonts w:hint="eastAsia" w:ascii="仿宋_GB2312" w:hAnsi="仿宋_GB2312" w:eastAsia="仿宋_GB2312" w:cs="仿宋_GB2312"/>
                <w:color w:val="auto"/>
                <w:lang w:val="en-US" w:eastAsia="zh-CN" w:bidi="ar"/>
              </w:rPr>
              <w:t>将</w:t>
            </w:r>
            <w:r>
              <w:rPr>
                <w:rFonts w:hint="eastAsia" w:ascii="仿宋_GB2312" w:hAnsi="仿宋_GB2312" w:eastAsia="仿宋_GB2312" w:cs="仿宋_GB2312"/>
                <w:i w:val="0"/>
                <w:color w:val="auto"/>
                <w:kern w:val="0"/>
                <w:sz w:val="21"/>
                <w:szCs w:val="21"/>
                <w:u w:val="none"/>
                <w:lang w:val="en-US" w:eastAsia="zh-CN" w:bidi="ar"/>
              </w:rPr>
              <w:t>非食用</w:t>
            </w:r>
            <w:r>
              <w:rPr>
                <w:rFonts w:hint="eastAsia" w:ascii="仿宋_GB2312" w:hAnsi="仿宋_GB2312" w:eastAsia="仿宋_GB2312" w:cs="仿宋_GB2312"/>
                <w:i w:val="0"/>
                <w:color w:val="000000"/>
                <w:kern w:val="0"/>
                <w:sz w:val="21"/>
                <w:szCs w:val="21"/>
                <w:u w:val="none"/>
                <w:lang w:val="en-US" w:eastAsia="zh-CN" w:bidi="ar"/>
              </w:rPr>
              <w:t>盐产品作为食盐销售的行政处罚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330207064000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对食盐定点批发企业从食盐定点生产企业、其他食盐定点批发企业以外的单位或者个人购进食盐的行政处罚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330207065000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对食盐零售单位从食盐定点批发企业以外的单位或个人购进食盐的行政处罚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330207066000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对未按照规定在食盐外包装上作出标识的行政处罚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330207067000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对食盐定点生产企业、食盐定点批发企业违反规定聘用人员的行政处罚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330207068000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对碘盐加工企业、批发企业加工、批发不合格碘盐的行政处罚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330207069000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对在缺碘地区食用盐市场销售不合格碘盐或擅自销售非碘盐的行政处罚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330207072000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对擅自废弃、转产盐田的行政处罚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330207070000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对生产、加工用于零售的碘盐未按国家有关规定实行小包装并加贴防伪碘盐标识的行政处罚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330207071000</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对食盐批发企业造成责任性脱销的行政处罚</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全部</w:t>
            </w:r>
          </w:p>
        </w:tc>
        <w:tc>
          <w:tcPr>
            <w:tcW w:w="5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盐业主管部门</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市场监管部门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2"/>
                <w:szCs w:val="22"/>
                <w:u w:val="none"/>
              </w:rPr>
            </w:pPr>
          </w:p>
        </w:tc>
      </w:tr>
    </w:tbl>
    <w:p>
      <w:bookmarkStart w:id="0" w:name="_GoBack"/>
      <w:bookmarkEnd w:id="0"/>
    </w:p>
    <w:sectPr>
      <w:footerReference r:id="rId3" w:type="default"/>
      <w:pgSz w:w="16838" w:h="11906" w:orient="landscape"/>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676A5"/>
    <w:rsid w:val="2C883504"/>
    <w:rsid w:val="7036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4"/>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2021-04-12T10:16:00Z</dcterms:created>
  <dc:creator>qianwenhu</dc:creator>
  <cp:lastModifiedBy>qianwenhu</cp:lastModifiedBy>
  <dcterms:modified xsi:type="dcterms:W3CDTF">2021-04-12T10:53:20Z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